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5C" w:rsidRDefault="00484E2E" w:rsidP="0094745C">
      <w:pPr>
        <w:jc w:val="center"/>
      </w:pPr>
      <w:r>
        <w:rPr>
          <w:noProof/>
          <w:lang w:val="sk-SK" w:eastAsia="sk-SK"/>
        </w:rPr>
        <w:drawing>
          <wp:inline distT="0" distB="0" distL="0" distR="0">
            <wp:extent cx="1752600" cy="332283"/>
            <wp:effectExtent l="0" t="0" r="0" b="0"/>
            <wp:docPr id="1" name="Obrázek 0" descr="Cellular line logo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ular line logo 201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8322" cy="34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1E5" w:rsidRPr="007A5E67" w:rsidRDefault="00DA389F" w:rsidP="005D650E">
      <w:pPr>
        <w:spacing w:after="0" w:line="240" w:lineRule="auto"/>
        <w:jc w:val="center"/>
        <w:outlineLvl w:val="0"/>
        <w:rPr>
          <w:rFonts w:eastAsia="Times New Roman" w:cs="Tahoma"/>
          <w:b/>
          <w:bCs/>
          <w:color w:val="020202"/>
          <w:kern w:val="36"/>
          <w:sz w:val="40"/>
          <w:szCs w:val="40"/>
        </w:rPr>
      </w:pPr>
      <w:r w:rsidRPr="007A5E67">
        <w:rPr>
          <w:rFonts w:eastAsia="Times New Roman" w:cs="Tahoma"/>
          <w:b/>
          <w:bCs/>
          <w:color w:val="020202"/>
          <w:kern w:val="36"/>
          <w:sz w:val="40"/>
          <w:szCs w:val="40"/>
        </w:rPr>
        <w:t>BEZDR</w:t>
      </w:r>
      <w:r w:rsidR="00940151">
        <w:rPr>
          <w:rFonts w:eastAsia="Times New Roman" w:cs="Tahoma"/>
          <w:b/>
          <w:bCs/>
          <w:color w:val="020202"/>
          <w:kern w:val="36"/>
          <w:sz w:val="40"/>
          <w:szCs w:val="40"/>
        </w:rPr>
        <w:t>Ô</w:t>
      </w:r>
      <w:r w:rsidRPr="007A5E67">
        <w:rPr>
          <w:rFonts w:eastAsia="Times New Roman" w:cs="Tahoma"/>
          <w:b/>
          <w:bCs/>
          <w:color w:val="020202"/>
          <w:kern w:val="36"/>
          <w:sz w:val="40"/>
          <w:szCs w:val="40"/>
        </w:rPr>
        <w:t>TOVÁ NABÍJ</w:t>
      </w:r>
      <w:r w:rsidR="00940151">
        <w:rPr>
          <w:rFonts w:eastAsia="Times New Roman" w:cs="Tahoma"/>
          <w:b/>
          <w:bCs/>
          <w:color w:val="020202"/>
          <w:kern w:val="36"/>
          <w:sz w:val="40"/>
          <w:szCs w:val="40"/>
        </w:rPr>
        <w:t>A</w:t>
      </w:r>
      <w:r w:rsidRPr="007A5E67">
        <w:rPr>
          <w:rFonts w:eastAsia="Times New Roman" w:cs="Tahoma"/>
          <w:b/>
          <w:bCs/>
          <w:color w:val="020202"/>
          <w:kern w:val="36"/>
          <w:sz w:val="40"/>
          <w:szCs w:val="40"/>
        </w:rPr>
        <w:t>ČKA</w:t>
      </w:r>
    </w:p>
    <w:p w:rsidR="007E289F" w:rsidRPr="007A5E67" w:rsidRDefault="00DA389F" w:rsidP="008D36F0">
      <w:pPr>
        <w:jc w:val="center"/>
        <w:rPr>
          <w:b/>
          <w:sz w:val="56"/>
          <w:szCs w:val="56"/>
        </w:rPr>
      </w:pPr>
      <w:r w:rsidRPr="007A5E67">
        <w:rPr>
          <w:b/>
          <w:sz w:val="56"/>
          <w:szCs w:val="56"/>
        </w:rPr>
        <w:t>WIRELESSPAD</w:t>
      </w:r>
    </w:p>
    <w:p w:rsidR="0094745C" w:rsidRPr="007A5E67" w:rsidRDefault="00940151" w:rsidP="0094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SK</w:t>
      </w:r>
      <w:r w:rsidR="0094745C" w:rsidRPr="007A5E67">
        <w:rPr>
          <w:b/>
          <w:sz w:val="36"/>
          <w:szCs w:val="36"/>
        </w:rPr>
        <w:t xml:space="preserve"> manuál</w:t>
      </w:r>
    </w:p>
    <w:p w:rsidR="0073586D" w:rsidRDefault="0073586D" w:rsidP="00310737">
      <w:pPr>
        <w:spacing w:line="240" w:lineRule="auto"/>
        <w:jc w:val="right"/>
        <w:rPr>
          <w:b/>
          <w:sz w:val="20"/>
          <w:szCs w:val="20"/>
        </w:rPr>
      </w:pPr>
    </w:p>
    <w:p w:rsidR="00700F20" w:rsidRDefault="00700F20" w:rsidP="009F12AD">
      <w:pPr>
        <w:spacing w:line="240" w:lineRule="auto"/>
        <w:jc w:val="center"/>
        <w:rPr>
          <w:b/>
          <w:sz w:val="20"/>
          <w:szCs w:val="20"/>
        </w:rPr>
        <w:sectPr w:rsidR="00700F20" w:rsidSect="007A5E67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40151" w:rsidRPr="00940151" w:rsidRDefault="007A5E67" w:rsidP="00940151">
      <w:pPr>
        <w:spacing w:after="12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b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3870325</wp:posOffset>
            </wp:positionH>
            <wp:positionV relativeFrom="paragraph">
              <wp:posOffset>6985</wp:posOffset>
            </wp:positionV>
            <wp:extent cx="2228850" cy="2462696"/>
            <wp:effectExtent l="0" t="0" r="0" b="0"/>
            <wp:wrapSquare wrapText="bothSides"/>
            <wp:docPr id="2" name="Obrázek 1" descr="WIRELESS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ELESSP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462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89F">
        <w:rPr>
          <w:rStyle w:val="A0"/>
          <w:b/>
          <w:bCs/>
          <w:sz w:val="20"/>
          <w:szCs w:val="20"/>
        </w:rPr>
        <w:t>Popis</w:t>
      </w:r>
      <w:r w:rsidR="009F12AD">
        <w:rPr>
          <w:rStyle w:val="A0"/>
          <w:b/>
          <w:bCs/>
          <w:sz w:val="20"/>
          <w:szCs w:val="20"/>
        </w:rPr>
        <w:t>:</w:t>
      </w:r>
    </w:p>
    <w:p w:rsidR="00940151" w:rsidRPr="00940151" w:rsidRDefault="00940151" w:rsidP="00940151">
      <w:pPr>
        <w:pStyle w:val="Manulnadpis"/>
        <w:spacing w:line="240" w:lineRule="auto"/>
        <w:jc w:val="both"/>
        <w:rPr>
          <w:rFonts w:eastAsiaTheme="minorEastAsia" w:cs="Calibri-Bold"/>
          <w:bCs/>
          <w:color w:val="1A181C"/>
          <w:sz w:val="20"/>
          <w:szCs w:val="20"/>
          <w:lang w:eastAsia="cs-CZ"/>
        </w:rPr>
      </w:pPr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1) MicroUSB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nabíjací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port</w:t>
      </w:r>
    </w:p>
    <w:p w:rsidR="00940151" w:rsidRPr="00940151" w:rsidRDefault="00940151" w:rsidP="00940151">
      <w:pPr>
        <w:pStyle w:val="Manulnadpis"/>
        <w:spacing w:line="240" w:lineRule="auto"/>
        <w:jc w:val="both"/>
        <w:rPr>
          <w:rFonts w:eastAsiaTheme="minorEastAsia" w:cs="Calibri-Bold"/>
          <w:bCs/>
          <w:color w:val="1A181C"/>
          <w:sz w:val="20"/>
          <w:szCs w:val="20"/>
          <w:lang w:eastAsia="cs-CZ"/>
        </w:rPr>
      </w:pPr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2) LED indikátory</w:t>
      </w:r>
    </w:p>
    <w:p w:rsidR="00940151" w:rsidRPr="00940151" w:rsidRDefault="00940151" w:rsidP="00940151">
      <w:pPr>
        <w:pStyle w:val="Manulnadpis"/>
        <w:spacing w:line="240" w:lineRule="auto"/>
        <w:jc w:val="both"/>
        <w:rPr>
          <w:rFonts w:eastAsiaTheme="minorEastAsia" w:cs="Calibri-Bold"/>
          <w:bCs/>
          <w:color w:val="1A181C"/>
          <w:sz w:val="20"/>
          <w:szCs w:val="20"/>
          <w:lang w:eastAsia="cs-CZ"/>
        </w:rPr>
      </w:pPr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3) USB-MicroUSB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kábel</w:t>
      </w:r>
      <w:proofErr w:type="spellEnd"/>
    </w:p>
    <w:p w:rsidR="00940151" w:rsidRPr="00940151" w:rsidRDefault="00940151" w:rsidP="00940151">
      <w:pPr>
        <w:pStyle w:val="Manulnadpis"/>
        <w:spacing w:line="240" w:lineRule="auto"/>
        <w:jc w:val="both"/>
        <w:rPr>
          <w:rFonts w:eastAsiaTheme="minorEastAsia" w:cs="Calibri-Bold"/>
          <w:bCs/>
          <w:color w:val="1A181C"/>
          <w:sz w:val="20"/>
          <w:szCs w:val="20"/>
          <w:lang w:eastAsia="cs-CZ"/>
        </w:rPr>
      </w:pP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použitie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:</w:t>
      </w:r>
    </w:p>
    <w:p w:rsidR="00940151" w:rsidRPr="00940151" w:rsidRDefault="00940151" w:rsidP="00940151">
      <w:pPr>
        <w:pStyle w:val="Manulnadpis"/>
        <w:spacing w:line="240" w:lineRule="auto"/>
        <w:jc w:val="both"/>
        <w:rPr>
          <w:rFonts w:eastAsiaTheme="minorEastAsia" w:cs="Calibri-Bold"/>
          <w:bCs/>
          <w:color w:val="1A181C"/>
          <w:sz w:val="20"/>
          <w:szCs w:val="20"/>
          <w:lang w:eastAsia="cs-CZ"/>
        </w:rPr>
      </w:pP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Pripojte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USB-MicroUSB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kábel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(3) k USB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nabíjačke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,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ktorá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poskytuje aspoň 2A a druhý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koniec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kábla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pripojte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do microUSB portu na Wireless Pad.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Umiestnite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smartphone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na Wireless Pad. </w:t>
      </w:r>
      <w:r>
        <w:rPr>
          <w:rFonts w:eastAsiaTheme="minorEastAsia" w:cs="Calibri-Bold"/>
          <w:bCs/>
          <w:color w:val="1A181C"/>
          <w:sz w:val="20"/>
          <w:szCs w:val="20"/>
          <w:lang w:eastAsia="cs-CZ"/>
        </w:rPr>
        <w:t>LED indikátor</w:t>
      </w:r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(2)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sa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rozsvieti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, tým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signalizujú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nabíjanie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.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Približne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po 60 sekundách LED indikátory (2)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zhasnú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.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Teraz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skontrolujte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úroveň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nabíjania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na displeji smartfónu.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Keď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je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nabíjanie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kompletné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, LED indikátory (2)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sa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zapnú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na 5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sekúnd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. Wireless Pad je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kompatibilný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s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väčšinou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puzdier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na trhu.</w:t>
      </w:r>
    </w:p>
    <w:p w:rsidR="00940151" w:rsidRPr="00940151" w:rsidRDefault="00940151" w:rsidP="00940151">
      <w:pPr>
        <w:pStyle w:val="Manulnadpis"/>
        <w:spacing w:after="0" w:line="240" w:lineRule="auto"/>
        <w:jc w:val="both"/>
        <w:rPr>
          <w:rFonts w:eastAsiaTheme="minorEastAsia" w:cs="Calibri-Bold"/>
          <w:bCs/>
          <w:color w:val="1A181C"/>
          <w:sz w:val="20"/>
          <w:szCs w:val="20"/>
          <w:lang w:eastAsia="cs-CZ"/>
        </w:rPr>
      </w:pP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Špecifikácia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:</w:t>
      </w:r>
    </w:p>
    <w:p w:rsidR="00940151" w:rsidRPr="00940151" w:rsidRDefault="00940151" w:rsidP="00940151">
      <w:pPr>
        <w:pStyle w:val="Manulnadpis"/>
        <w:spacing w:after="0" w:line="240" w:lineRule="auto"/>
        <w:jc w:val="both"/>
        <w:rPr>
          <w:rFonts w:eastAsiaTheme="minorEastAsia" w:cs="Calibri-Bold"/>
          <w:bCs/>
          <w:color w:val="1A181C"/>
          <w:sz w:val="20"/>
          <w:szCs w:val="20"/>
          <w:lang w:eastAsia="cs-CZ"/>
        </w:rPr>
      </w:pPr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Vstup: 5 V DC - 2A</w:t>
      </w:r>
    </w:p>
    <w:p w:rsidR="00940151" w:rsidRPr="00940151" w:rsidRDefault="00940151" w:rsidP="00940151">
      <w:pPr>
        <w:pStyle w:val="Manulnadpis"/>
        <w:spacing w:after="0" w:line="240" w:lineRule="auto"/>
        <w:jc w:val="both"/>
        <w:rPr>
          <w:rFonts w:eastAsiaTheme="minorEastAsia" w:cs="Calibri-Bold"/>
          <w:bCs/>
          <w:color w:val="1A181C"/>
          <w:sz w:val="20"/>
          <w:szCs w:val="20"/>
          <w:lang w:eastAsia="cs-CZ"/>
        </w:rPr>
      </w:pPr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Výstup: 5 V DC - 1A</w:t>
      </w:r>
    </w:p>
    <w:p w:rsidR="00940151" w:rsidRPr="00940151" w:rsidRDefault="00940151" w:rsidP="00940151">
      <w:pPr>
        <w:pStyle w:val="Manulnadpis"/>
        <w:spacing w:after="0" w:line="240" w:lineRule="auto"/>
        <w:jc w:val="both"/>
        <w:rPr>
          <w:rFonts w:eastAsiaTheme="minorEastAsia" w:cs="Calibri-Bold"/>
          <w:bCs/>
          <w:color w:val="1A181C"/>
          <w:sz w:val="20"/>
          <w:szCs w:val="20"/>
          <w:lang w:eastAsia="cs-CZ"/>
        </w:rPr>
      </w:pP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Certifikácia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a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bezpečnostné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informácie</w:t>
      </w:r>
      <w:proofErr w:type="spellEnd"/>
    </w:p>
    <w:p w:rsidR="00940151" w:rsidRPr="00940151" w:rsidRDefault="00940151" w:rsidP="00940151">
      <w:pPr>
        <w:pStyle w:val="Manulnadpis"/>
        <w:spacing w:after="0" w:line="240" w:lineRule="auto"/>
        <w:jc w:val="both"/>
        <w:rPr>
          <w:rFonts w:eastAsiaTheme="minorEastAsia" w:cs="Calibri-Bold"/>
          <w:bCs/>
          <w:color w:val="1A181C"/>
          <w:sz w:val="20"/>
          <w:szCs w:val="20"/>
          <w:lang w:eastAsia="cs-CZ"/>
        </w:rPr>
      </w:pP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Spoločnosť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Cellular Italia </w:t>
      </w:r>
      <w:proofErr w:type="spellStart"/>
      <w:proofErr w:type="gram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S.p.</w:t>
      </w:r>
      <w:proofErr w:type="gram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A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.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prehlasuje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, že tento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výrobok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je v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zhode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s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ustanoveniami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smernice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2014/30 / EÚ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týkajúcich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sa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elektromagnetickej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kompatibility a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smernice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2011/65 / EÚ o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obmedzení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používania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určitých nebezpečných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látok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v elektrických a elektronických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zariadeniach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.</w:t>
      </w:r>
    </w:p>
    <w:p w:rsidR="00940151" w:rsidRPr="00940151" w:rsidRDefault="00940151" w:rsidP="00940151">
      <w:pPr>
        <w:pStyle w:val="Manulnadpis"/>
        <w:spacing w:after="0" w:line="240" w:lineRule="auto"/>
        <w:jc w:val="both"/>
        <w:rPr>
          <w:rFonts w:eastAsiaTheme="minorEastAsia" w:cs="Calibri-Bold"/>
          <w:bCs/>
          <w:color w:val="1A181C"/>
          <w:sz w:val="20"/>
          <w:szCs w:val="20"/>
          <w:lang w:eastAsia="cs-CZ"/>
        </w:rPr>
      </w:pP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Výrobok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je označený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symbolom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CE a je v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súlade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s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bezpečnostnými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normami platnými v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Európskej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únii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.</w:t>
      </w:r>
    </w:p>
    <w:p w:rsidR="00940151" w:rsidRPr="00940151" w:rsidRDefault="00940151" w:rsidP="00940151">
      <w:pPr>
        <w:pStyle w:val="Manulnadpis"/>
        <w:spacing w:after="0" w:line="240" w:lineRule="auto"/>
        <w:jc w:val="both"/>
        <w:rPr>
          <w:rFonts w:eastAsiaTheme="minorEastAsia" w:cs="Calibri-Bold"/>
          <w:bCs/>
          <w:color w:val="1A181C"/>
          <w:sz w:val="20"/>
          <w:szCs w:val="20"/>
          <w:lang w:eastAsia="cs-CZ"/>
        </w:rPr>
      </w:pPr>
    </w:p>
    <w:p w:rsidR="00940151" w:rsidRPr="00940151" w:rsidRDefault="00940151" w:rsidP="00940151">
      <w:pPr>
        <w:pStyle w:val="Manulnadpis"/>
        <w:spacing w:after="0" w:line="240" w:lineRule="auto"/>
        <w:jc w:val="both"/>
        <w:rPr>
          <w:rFonts w:eastAsiaTheme="minorEastAsia" w:cs="Calibri-Bold"/>
          <w:bCs/>
          <w:color w:val="1A181C"/>
          <w:sz w:val="20"/>
          <w:szCs w:val="20"/>
          <w:lang w:eastAsia="cs-CZ"/>
        </w:rPr>
      </w:pP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Užívateľovi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je zakázané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vykonávať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akékoľvek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úpravy a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zmeny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zariadení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,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ktoré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nie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sú </w:t>
      </w:r>
      <w:proofErr w:type="spell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výslovne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 xml:space="preserve"> schválené Cellular Italia </w:t>
      </w:r>
      <w:proofErr w:type="spellStart"/>
      <w:proofErr w:type="gramStart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S.p.</w:t>
      </w:r>
      <w:proofErr w:type="gram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A</w:t>
      </w:r>
      <w:proofErr w:type="spellEnd"/>
      <w:r w:rsidRPr="00940151">
        <w:rPr>
          <w:rFonts w:eastAsiaTheme="minorEastAsia" w:cs="Calibri-Bold"/>
          <w:bCs/>
          <w:color w:val="1A181C"/>
          <w:sz w:val="20"/>
          <w:szCs w:val="20"/>
          <w:lang w:eastAsia="cs-CZ"/>
        </w:rPr>
        <w:t>.</w:t>
      </w:r>
    </w:p>
    <w:p w:rsidR="00940151" w:rsidRPr="00940151" w:rsidRDefault="00940151" w:rsidP="00940151">
      <w:pPr>
        <w:pStyle w:val="Manulnadpis"/>
        <w:spacing w:line="240" w:lineRule="auto"/>
        <w:jc w:val="both"/>
        <w:rPr>
          <w:rFonts w:eastAsiaTheme="minorEastAsia" w:cs="Calibri-Bold"/>
          <w:bCs/>
          <w:color w:val="1A181C"/>
          <w:sz w:val="12"/>
          <w:szCs w:val="12"/>
          <w:lang w:eastAsia="cs-CZ"/>
        </w:rPr>
      </w:pPr>
    </w:p>
    <w:p w:rsidR="00940151" w:rsidRPr="00940151" w:rsidRDefault="00940151" w:rsidP="00940151">
      <w:pPr>
        <w:pStyle w:val="Manulnadpis"/>
        <w:spacing w:line="240" w:lineRule="auto"/>
        <w:jc w:val="both"/>
        <w:rPr>
          <w:rFonts w:eastAsiaTheme="minorEastAsia" w:cs="Calibri-Bold"/>
          <w:bCs/>
          <w:color w:val="1A181C"/>
          <w:sz w:val="12"/>
          <w:szCs w:val="12"/>
          <w:lang w:eastAsia="cs-CZ"/>
        </w:rPr>
      </w:pPr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ZNEŠKODŇOVANIA ZARIADENIE NA SÚKROMNÉ OSOBY (Platí v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Európskej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únii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a v krajinách so zavedeným separovaným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zberom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)</w:t>
      </w:r>
    </w:p>
    <w:p w:rsidR="00940151" w:rsidRPr="00940151" w:rsidRDefault="00940151" w:rsidP="00940151">
      <w:pPr>
        <w:pStyle w:val="Manulnadpis"/>
        <w:spacing w:line="240" w:lineRule="auto"/>
        <w:jc w:val="both"/>
        <w:rPr>
          <w:rFonts w:eastAsiaTheme="minorEastAsia" w:cs="Calibri-Bold"/>
          <w:bCs/>
          <w:color w:val="1A181C"/>
          <w:sz w:val="12"/>
          <w:szCs w:val="12"/>
          <w:lang w:eastAsia="cs-CZ"/>
        </w:rPr>
      </w:pP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Označenie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na výrobku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alebo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v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dokumentácii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znamená, že na konci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svojej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životnosti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výrobok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nesmie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byť likvidovaný spolu s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ostatným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komunálnym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odpadom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. Aby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sa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zabránilo možnému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znečisteniu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životného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prostredia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či ujme na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ľudskom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zdraví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spôsobeným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nekontrolovanou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likvidáciou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odpadu,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oddeľte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ich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prosím od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ďalších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typov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odpadov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a recyklujte je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zodpovedne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k podpore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opätovného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využitia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materiálnych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zdrojov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.</w:t>
      </w:r>
    </w:p>
    <w:p w:rsidR="006462A9" w:rsidRPr="00940151" w:rsidRDefault="00940151" w:rsidP="00940151">
      <w:pPr>
        <w:pStyle w:val="Manulnadpis"/>
        <w:spacing w:line="240" w:lineRule="auto"/>
        <w:jc w:val="both"/>
        <w:rPr>
          <w:b w:val="0"/>
          <w:noProof/>
          <w:sz w:val="12"/>
          <w:szCs w:val="12"/>
          <w:lang w:eastAsia="cs-CZ"/>
        </w:rPr>
      </w:pP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Súkromné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​​osoby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môžu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kontaktovať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predajné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miesto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kde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bylprodukt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zakúpený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alebo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miestnu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kanceláriu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s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informáciami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o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recyklácii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tohototypu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výrobku. Právnické osoby by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mali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kontaktovať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svojho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dodávateľa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a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preveriť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si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podmienky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kúpnej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zmluvy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. Tento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výrobok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by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sa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nemal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miešať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s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inými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komerčnými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odpadmi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na účel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likvidácie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. Tento produkt má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zabudovanú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nevymeniteľnú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batériu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,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nepokúšajte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sa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otvoriť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výrobkek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alebo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vybrať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batériu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,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pretože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to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môže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spôsobiť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zranenie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a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poškodenie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produktu.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Pri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likvidácii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výrobku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sa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obráťte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na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miestne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služby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pre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likvidáciu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odpadov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za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účelom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odstránenia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batérie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.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Batérie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obsiahnutá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v </w:t>
      </w:r>
      <w:proofErr w:type="spellStart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>prístroji</w:t>
      </w:r>
      <w:proofErr w:type="spellEnd"/>
      <w:r w:rsidRPr="00940151">
        <w:rPr>
          <w:rFonts w:eastAsiaTheme="minorEastAsia" w:cs="Calibri-Bold"/>
          <w:bCs/>
          <w:color w:val="1A181C"/>
          <w:sz w:val="12"/>
          <w:szCs w:val="12"/>
          <w:lang w:eastAsia="cs-CZ"/>
        </w:rPr>
        <w:t xml:space="preserve"> je navrhnutá</w:t>
      </w:r>
      <w:r w:rsidRPr="00940151">
        <w:rPr>
          <w:rFonts w:eastAsiaTheme="minorEastAsia" w:cs="Calibri-Bold"/>
          <w:b w:val="0"/>
          <w:bCs/>
          <w:noProof/>
          <w:color w:val="1A181C"/>
          <w:sz w:val="12"/>
          <w:szCs w:val="12"/>
          <w:lang w:eastAsia="cs-CZ"/>
        </w:rPr>
        <w:t xml:space="preserve"> </w:t>
      </w:r>
      <w:r w:rsidR="006462A9" w:rsidRPr="00940151">
        <w:rPr>
          <w:b w:val="0"/>
          <w:noProof/>
          <w:sz w:val="12"/>
          <w:szCs w:val="12"/>
          <w:lang w:eastAsia="cs-CZ"/>
        </w:rPr>
        <w:t>podle životního cyklu výrobku.</w:t>
      </w:r>
    </w:p>
    <w:p w:rsidR="007A5E67" w:rsidRPr="00481873" w:rsidRDefault="007A5E67" w:rsidP="006462A9">
      <w:pPr>
        <w:pStyle w:val="Manulnadpis"/>
        <w:spacing w:line="240" w:lineRule="auto"/>
        <w:jc w:val="both"/>
        <w:rPr>
          <w:b w:val="0"/>
          <w:noProof/>
          <w:sz w:val="8"/>
          <w:lang w:eastAsia="cs-CZ"/>
        </w:rPr>
      </w:pPr>
      <w:r>
        <w:rPr>
          <w:noProof/>
          <w:sz w:val="20"/>
          <w:szCs w:val="20"/>
          <w:lang w:val="sk-SK" w:eastAsia="sk-SK"/>
        </w:rPr>
        <w:drawing>
          <wp:inline distT="0" distB="0" distL="0" distR="0" wp14:anchorId="5AC65861" wp14:editId="06395B62">
            <wp:extent cx="3749040" cy="520202"/>
            <wp:effectExtent l="0" t="0" r="0" b="0"/>
            <wp:docPr id="3" name="Obrázek 1" descr="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9649" cy="53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F3" w:rsidRPr="00B421F3" w:rsidRDefault="00B421F3" w:rsidP="00B421F3">
      <w:pPr>
        <w:jc w:val="center"/>
        <w:rPr>
          <w:sz w:val="28"/>
          <w:szCs w:val="28"/>
        </w:rPr>
      </w:pPr>
      <w:r w:rsidRPr="00B421F3">
        <w:rPr>
          <w:b/>
          <w:sz w:val="28"/>
          <w:szCs w:val="28"/>
        </w:rPr>
        <w:t>Cellular</w:t>
      </w:r>
      <w:r w:rsidR="00400E70">
        <w:rPr>
          <w:b/>
          <w:sz w:val="28"/>
          <w:szCs w:val="28"/>
        </w:rPr>
        <w:t xml:space="preserve"> Italia</w:t>
      </w:r>
      <w:r w:rsidR="007A5E67">
        <w:rPr>
          <w:b/>
          <w:sz w:val="28"/>
          <w:szCs w:val="28"/>
        </w:rPr>
        <w:t xml:space="preserve"> </w:t>
      </w:r>
      <w:proofErr w:type="spellStart"/>
      <w:proofErr w:type="gramStart"/>
      <w:r w:rsidRPr="00B421F3">
        <w:rPr>
          <w:b/>
          <w:sz w:val="28"/>
          <w:szCs w:val="28"/>
        </w:rPr>
        <w:t>S.p.</w:t>
      </w:r>
      <w:proofErr w:type="gramEnd"/>
      <w:r w:rsidRPr="00B421F3">
        <w:rPr>
          <w:b/>
          <w:sz w:val="28"/>
          <w:szCs w:val="28"/>
        </w:rPr>
        <w:t>A</w:t>
      </w:r>
      <w:proofErr w:type="spellEnd"/>
      <w:r w:rsidRPr="00B421F3">
        <w:rPr>
          <w:b/>
          <w:sz w:val="28"/>
          <w:szCs w:val="28"/>
        </w:rPr>
        <w:t xml:space="preserve">. </w:t>
      </w:r>
      <w:r w:rsidRPr="00B421F3">
        <w:rPr>
          <w:sz w:val="28"/>
          <w:szCs w:val="28"/>
        </w:rPr>
        <w:t xml:space="preserve">Via </w:t>
      </w:r>
      <w:proofErr w:type="spellStart"/>
      <w:r w:rsidRPr="00B421F3">
        <w:rPr>
          <w:sz w:val="28"/>
          <w:szCs w:val="28"/>
        </w:rPr>
        <w:t>Lambrakis</w:t>
      </w:r>
      <w:proofErr w:type="spellEnd"/>
      <w:r w:rsidRPr="00B421F3">
        <w:rPr>
          <w:sz w:val="28"/>
          <w:szCs w:val="28"/>
        </w:rPr>
        <w:t xml:space="preserve"> 1/A, 42122 </w:t>
      </w:r>
      <w:proofErr w:type="spellStart"/>
      <w:r w:rsidRPr="00B421F3">
        <w:rPr>
          <w:sz w:val="28"/>
          <w:szCs w:val="28"/>
        </w:rPr>
        <w:t>Reggio</w:t>
      </w:r>
      <w:proofErr w:type="spellEnd"/>
      <w:r w:rsidRPr="00B421F3">
        <w:rPr>
          <w:sz w:val="28"/>
          <w:szCs w:val="28"/>
        </w:rPr>
        <w:t xml:space="preserve"> Emilia, Italy</w:t>
      </w:r>
    </w:p>
    <w:p w:rsidR="009966FD" w:rsidRPr="00B421F3" w:rsidRDefault="009966FD" w:rsidP="009966FD">
      <w:pPr>
        <w:jc w:val="center"/>
        <w:rPr>
          <w:b/>
          <w:sz w:val="28"/>
          <w:szCs w:val="28"/>
        </w:rPr>
      </w:pPr>
      <w:proofErr w:type="spellStart"/>
      <w:r w:rsidRPr="00B421F3">
        <w:rPr>
          <w:b/>
          <w:sz w:val="28"/>
          <w:szCs w:val="28"/>
        </w:rPr>
        <w:t>Distri</w:t>
      </w:r>
      <w:r w:rsidR="00940151">
        <w:rPr>
          <w:b/>
          <w:sz w:val="28"/>
          <w:szCs w:val="28"/>
        </w:rPr>
        <w:t>búcia</w:t>
      </w:r>
      <w:proofErr w:type="spellEnd"/>
      <w:r w:rsidRPr="00B421F3">
        <w:rPr>
          <w:b/>
          <w:sz w:val="28"/>
          <w:szCs w:val="28"/>
        </w:rPr>
        <w:t>: RECALL s.r.o.</w:t>
      </w:r>
      <w:bookmarkStart w:id="0" w:name="_GoBack"/>
      <w:bookmarkEnd w:id="0"/>
    </w:p>
    <w:sectPr w:rsidR="009966FD" w:rsidRPr="00B421F3" w:rsidSect="007A5E67">
      <w:type w:val="continuous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ktra Ligh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7704"/>
    <w:multiLevelType w:val="hybridMultilevel"/>
    <w:tmpl w:val="FE8CDBA8"/>
    <w:lvl w:ilvl="0" w:tplc="6FAED0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349CA"/>
    <w:multiLevelType w:val="hybridMultilevel"/>
    <w:tmpl w:val="4F4A20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5993"/>
    <w:multiLevelType w:val="hybridMultilevel"/>
    <w:tmpl w:val="ECDC4B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C2D32"/>
    <w:multiLevelType w:val="hybridMultilevel"/>
    <w:tmpl w:val="BFF2506C"/>
    <w:lvl w:ilvl="0" w:tplc="0C6AB9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E47E65"/>
    <w:multiLevelType w:val="hybridMultilevel"/>
    <w:tmpl w:val="94FCF7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B718E"/>
    <w:multiLevelType w:val="hybridMultilevel"/>
    <w:tmpl w:val="39C6B3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27ED7"/>
    <w:multiLevelType w:val="hybridMultilevel"/>
    <w:tmpl w:val="3CF609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27980"/>
    <w:multiLevelType w:val="hybridMultilevel"/>
    <w:tmpl w:val="604CC1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46165"/>
    <w:multiLevelType w:val="hybridMultilevel"/>
    <w:tmpl w:val="8640CFFA"/>
    <w:lvl w:ilvl="0" w:tplc="AADAE70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7025B"/>
    <w:multiLevelType w:val="hybridMultilevel"/>
    <w:tmpl w:val="DAF442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5C"/>
    <w:rsid w:val="00006599"/>
    <w:rsid w:val="00021E59"/>
    <w:rsid w:val="00026B92"/>
    <w:rsid w:val="00027170"/>
    <w:rsid w:val="00031C52"/>
    <w:rsid w:val="00077A45"/>
    <w:rsid w:val="00097615"/>
    <w:rsid w:val="00175EB7"/>
    <w:rsid w:val="00185BAA"/>
    <w:rsid w:val="001950ED"/>
    <w:rsid w:val="001A5AEE"/>
    <w:rsid w:val="001E05A9"/>
    <w:rsid w:val="001E3AC7"/>
    <w:rsid w:val="001E5AD4"/>
    <w:rsid w:val="001E7AF1"/>
    <w:rsid w:val="001F291E"/>
    <w:rsid w:val="00222C0E"/>
    <w:rsid w:val="00225F8E"/>
    <w:rsid w:val="00235610"/>
    <w:rsid w:val="00236242"/>
    <w:rsid w:val="002422A2"/>
    <w:rsid w:val="002601E5"/>
    <w:rsid w:val="002602FB"/>
    <w:rsid w:val="00263F85"/>
    <w:rsid w:val="00283CA1"/>
    <w:rsid w:val="0029542E"/>
    <w:rsid w:val="002B1F63"/>
    <w:rsid w:val="002D4836"/>
    <w:rsid w:val="00310737"/>
    <w:rsid w:val="00360D79"/>
    <w:rsid w:val="00366C14"/>
    <w:rsid w:val="003A6C9D"/>
    <w:rsid w:val="003B42B3"/>
    <w:rsid w:val="003C14D7"/>
    <w:rsid w:val="003D2217"/>
    <w:rsid w:val="003D40A9"/>
    <w:rsid w:val="003F1DB1"/>
    <w:rsid w:val="00400E70"/>
    <w:rsid w:val="00403C4A"/>
    <w:rsid w:val="00420A5C"/>
    <w:rsid w:val="00426407"/>
    <w:rsid w:val="00431597"/>
    <w:rsid w:val="00474A92"/>
    <w:rsid w:val="00484E2E"/>
    <w:rsid w:val="004958D8"/>
    <w:rsid w:val="004C0B93"/>
    <w:rsid w:val="00526794"/>
    <w:rsid w:val="00536021"/>
    <w:rsid w:val="005407F5"/>
    <w:rsid w:val="00543297"/>
    <w:rsid w:val="005530CA"/>
    <w:rsid w:val="00557118"/>
    <w:rsid w:val="00557250"/>
    <w:rsid w:val="0056101B"/>
    <w:rsid w:val="00592A80"/>
    <w:rsid w:val="00593ABF"/>
    <w:rsid w:val="005A065F"/>
    <w:rsid w:val="005D5A2A"/>
    <w:rsid w:val="005D650E"/>
    <w:rsid w:val="005F2CFB"/>
    <w:rsid w:val="005F72E8"/>
    <w:rsid w:val="0061720F"/>
    <w:rsid w:val="0062590F"/>
    <w:rsid w:val="0063263B"/>
    <w:rsid w:val="006462A9"/>
    <w:rsid w:val="0066477F"/>
    <w:rsid w:val="00672364"/>
    <w:rsid w:val="006762DE"/>
    <w:rsid w:val="00691D6E"/>
    <w:rsid w:val="006A38AA"/>
    <w:rsid w:val="006B389B"/>
    <w:rsid w:val="006C1F0F"/>
    <w:rsid w:val="006C2F65"/>
    <w:rsid w:val="00700F20"/>
    <w:rsid w:val="00712041"/>
    <w:rsid w:val="00720BA0"/>
    <w:rsid w:val="0073586D"/>
    <w:rsid w:val="00767597"/>
    <w:rsid w:val="00777D94"/>
    <w:rsid w:val="007968D2"/>
    <w:rsid w:val="00796AB5"/>
    <w:rsid w:val="007A5E67"/>
    <w:rsid w:val="007C03B9"/>
    <w:rsid w:val="007C6557"/>
    <w:rsid w:val="007E289F"/>
    <w:rsid w:val="00840077"/>
    <w:rsid w:val="0085384C"/>
    <w:rsid w:val="00856949"/>
    <w:rsid w:val="008634F5"/>
    <w:rsid w:val="00886997"/>
    <w:rsid w:val="00896BF1"/>
    <w:rsid w:val="008B0ECE"/>
    <w:rsid w:val="008C28FB"/>
    <w:rsid w:val="008D36F0"/>
    <w:rsid w:val="008F37B4"/>
    <w:rsid w:val="008F5AA7"/>
    <w:rsid w:val="00917E03"/>
    <w:rsid w:val="009352F2"/>
    <w:rsid w:val="00940151"/>
    <w:rsid w:val="0094745C"/>
    <w:rsid w:val="00961FCF"/>
    <w:rsid w:val="00964483"/>
    <w:rsid w:val="0097338A"/>
    <w:rsid w:val="009966FD"/>
    <w:rsid w:val="009B2ED2"/>
    <w:rsid w:val="009C06CD"/>
    <w:rsid w:val="009C2B66"/>
    <w:rsid w:val="009F12AD"/>
    <w:rsid w:val="00A108DD"/>
    <w:rsid w:val="00A51023"/>
    <w:rsid w:val="00A73439"/>
    <w:rsid w:val="00A738C9"/>
    <w:rsid w:val="00A7485A"/>
    <w:rsid w:val="00A95137"/>
    <w:rsid w:val="00AA2522"/>
    <w:rsid w:val="00AA74EE"/>
    <w:rsid w:val="00AC5B04"/>
    <w:rsid w:val="00AD17BA"/>
    <w:rsid w:val="00B024AD"/>
    <w:rsid w:val="00B26F2E"/>
    <w:rsid w:val="00B421F3"/>
    <w:rsid w:val="00B44926"/>
    <w:rsid w:val="00B60D29"/>
    <w:rsid w:val="00BA6767"/>
    <w:rsid w:val="00BC09A3"/>
    <w:rsid w:val="00BE51AC"/>
    <w:rsid w:val="00BE6ECB"/>
    <w:rsid w:val="00C01266"/>
    <w:rsid w:val="00C04446"/>
    <w:rsid w:val="00C24198"/>
    <w:rsid w:val="00C7696B"/>
    <w:rsid w:val="00C91E51"/>
    <w:rsid w:val="00C9373E"/>
    <w:rsid w:val="00C95173"/>
    <w:rsid w:val="00C95288"/>
    <w:rsid w:val="00CB42C1"/>
    <w:rsid w:val="00CD7E4F"/>
    <w:rsid w:val="00CF0512"/>
    <w:rsid w:val="00CF761F"/>
    <w:rsid w:val="00D03C44"/>
    <w:rsid w:val="00D528D0"/>
    <w:rsid w:val="00D55BC6"/>
    <w:rsid w:val="00D64867"/>
    <w:rsid w:val="00D70B2A"/>
    <w:rsid w:val="00DA0333"/>
    <w:rsid w:val="00DA389F"/>
    <w:rsid w:val="00DC0C2F"/>
    <w:rsid w:val="00DC3B47"/>
    <w:rsid w:val="00E111F7"/>
    <w:rsid w:val="00E47178"/>
    <w:rsid w:val="00E57C85"/>
    <w:rsid w:val="00E60D32"/>
    <w:rsid w:val="00E8051B"/>
    <w:rsid w:val="00EC206C"/>
    <w:rsid w:val="00ED49AF"/>
    <w:rsid w:val="00EF0DF8"/>
    <w:rsid w:val="00F025B4"/>
    <w:rsid w:val="00F27A70"/>
    <w:rsid w:val="00F34B1B"/>
    <w:rsid w:val="00F62700"/>
    <w:rsid w:val="00F901AB"/>
    <w:rsid w:val="00F925F2"/>
    <w:rsid w:val="00FA559C"/>
    <w:rsid w:val="00FC00A2"/>
    <w:rsid w:val="00FC432B"/>
    <w:rsid w:val="00FE3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8A9BF-300E-4DDD-AE4D-EE99521C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07F5"/>
  </w:style>
  <w:style w:type="paragraph" w:styleId="Nadpis1">
    <w:name w:val="heading 1"/>
    <w:basedOn w:val="Normlny"/>
    <w:link w:val="Nadpis1Char"/>
    <w:uiPriority w:val="9"/>
    <w:qFormat/>
    <w:rsid w:val="008F5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4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745C"/>
    <w:rPr>
      <w:rFonts w:ascii="Tahoma" w:hAnsi="Tahoma" w:cs="Tahoma"/>
      <w:sz w:val="16"/>
      <w:szCs w:val="16"/>
    </w:rPr>
  </w:style>
  <w:style w:type="paragraph" w:customStyle="1" w:styleId="Manulnadpis">
    <w:name w:val="Manuál nadpis"/>
    <w:basedOn w:val="Normlny"/>
    <w:link w:val="ManulnadpisChar"/>
    <w:qFormat/>
    <w:rsid w:val="00283CA1"/>
    <w:rPr>
      <w:rFonts w:eastAsiaTheme="minorHAnsi"/>
      <w:b/>
      <w:sz w:val="24"/>
      <w:szCs w:val="32"/>
      <w:lang w:eastAsia="en-US"/>
    </w:rPr>
  </w:style>
  <w:style w:type="character" w:customStyle="1" w:styleId="ManulnadpisChar">
    <w:name w:val="Manuál nadpis Char"/>
    <w:basedOn w:val="Predvolenpsmoodseku"/>
    <w:link w:val="Manulnadpis"/>
    <w:rsid w:val="00283CA1"/>
    <w:rPr>
      <w:rFonts w:eastAsiaTheme="minorHAnsi"/>
      <w:b/>
      <w:sz w:val="24"/>
      <w:szCs w:val="32"/>
      <w:lang w:eastAsia="en-US"/>
    </w:rPr>
  </w:style>
  <w:style w:type="paragraph" w:customStyle="1" w:styleId="Pa1">
    <w:name w:val="Pa1"/>
    <w:basedOn w:val="Normlny"/>
    <w:next w:val="Normlny"/>
    <w:uiPriority w:val="99"/>
    <w:rsid w:val="00B60D29"/>
    <w:pPr>
      <w:autoSpaceDE w:val="0"/>
      <w:autoSpaceDN w:val="0"/>
      <w:adjustRightInd w:val="0"/>
      <w:spacing w:after="0" w:line="241" w:lineRule="atLeast"/>
    </w:pPr>
    <w:rPr>
      <w:rFonts w:ascii="Elektra Light Pro" w:hAnsi="Elektra Light Pro"/>
      <w:sz w:val="24"/>
      <w:szCs w:val="24"/>
    </w:rPr>
  </w:style>
  <w:style w:type="character" w:customStyle="1" w:styleId="A2">
    <w:name w:val="A2"/>
    <w:uiPriority w:val="99"/>
    <w:rsid w:val="00B60D29"/>
    <w:rPr>
      <w:rFonts w:cs="Elektra Light Pro"/>
      <w:color w:val="000000"/>
      <w:sz w:val="11"/>
      <w:szCs w:val="11"/>
    </w:rPr>
  </w:style>
  <w:style w:type="paragraph" w:styleId="Odsekzoznamu">
    <w:name w:val="List Paragraph"/>
    <w:basedOn w:val="Normlny"/>
    <w:uiPriority w:val="34"/>
    <w:qFormat/>
    <w:rsid w:val="00B44926"/>
    <w:pPr>
      <w:ind w:left="720"/>
      <w:contextualSpacing/>
    </w:pPr>
  </w:style>
  <w:style w:type="paragraph" w:customStyle="1" w:styleId="Pa2">
    <w:name w:val="Pa2"/>
    <w:basedOn w:val="Normlny"/>
    <w:next w:val="Normlny"/>
    <w:uiPriority w:val="99"/>
    <w:rsid w:val="00BC09A3"/>
    <w:pPr>
      <w:autoSpaceDE w:val="0"/>
      <w:autoSpaceDN w:val="0"/>
      <w:adjustRightInd w:val="0"/>
      <w:spacing w:after="0" w:line="241" w:lineRule="atLeast"/>
    </w:pPr>
    <w:rPr>
      <w:rFonts w:ascii="Elektra Light Pro" w:eastAsiaTheme="minorHAnsi" w:hAnsi="Elektra Light Pro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A6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A8"/>
    <w:uiPriority w:val="99"/>
    <w:rsid w:val="008F5AA7"/>
    <w:rPr>
      <w:rFonts w:cs="Elektra Light Pro"/>
      <w:b/>
      <w:bCs/>
      <w:color w:val="000000"/>
      <w:sz w:val="10"/>
      <w:szCs w:val="10"/>
    </w:rPr>
  </w:style>
  <w:style w:type="character" w:customStyle="1" w:styleId="Nadpis1Char">
    <w:name w:val="Nadpis 1 Char"/>
    <w:basedOn w:val="Predvolenpsmoodseku"/>
    <w:link w:val="Nadpis1"/>
    <w:uiPriority w:val="9"/>
    <w:rsid w:val="008F5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Predvolenpsmoodseku"/>
    <w:rsid w:val="008F5AA7"/>
  </w:style>
  <w:style w:type="character" w:customStyle="1" w:styleId="A7">
    <w:name w:val="A7"/>
    <w:uiPriority w:val="99"/>
    <w:rsid w:val="008F5AA7"/>
    <w:rPr>
      <w:rFonts w:cs="Elektra Light Pro"/>
      <w:i/>
      <w:iCs/>
      <w:color w:val="000000"/>
      <w:sz w:val="12"/>
      <w:szCs w:val="12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F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F5AA7"/>
    <w:rPr>
      <w:rFonts w:ascii="Courier New" w:eastAsia="Times New Roman" w:hAnsi="Courier New" w:cs="Courier New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86997"/>
    <w:rPr>
      <w:color w:val="0000FF" w:themeColor="hyperlink"/>
      <w:u w:val="single"/>
    </w:rPr>
  </w:style>
  <w:style w:type="paragraph" w:customStyle="1" w:styleId="Default">
    <w:name w:val="Default"/>
    <w:rsid w:val="00ED49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0">
    <w:name w:val="A0"/>
    <w:uiPriority w:val="99"/>
    <w:rsid w:val="00ED49AF"/>
    <w:rPr>
      <w:rFonts w:cs="Calibri"/>
      <w:color w:val="000000"/>
      <w:sz w:val="10"/>
      <w:szCs w:val="10"/>
    </w:rPr>
  </w:style>
  <w:style w:type="paragraph" w:customStyle="1" w:styleId="Pa3">
    <w:name w:val="Pa3"/>
    <w:basedOn w:val="Default"/>
    <w:next w:val="Default"/>
    <w:uiPriority w:val="99"/>
    <w:rsid w:val="00D528D0"/>
    <w:pPr>
      <w:spacing w:line="241" w:lineRule="atLeast"/>
    </w:pPr>
    <w:rPr>
      <w:rFonts w:cstheme="minorBidi"/>
      <w:color w:val="auto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E6ECB"/>
    <w:rPr>
      <w:color w:val="800080" w:themeColor="followedHyperlink"/>
      <w:u w:val="single"/>
    </w:rPr>
  </w:style>
  <w:style w:type="character" w:customStyle="1" w:styleId="A4">
    <w:name w:val="A4"/>
    <w:uiPriority w:val="99"/>
    <w:rsid w:val="00592A80"/>
    <w:rPr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F159-A80C-4B75-AB2D-F9D5D4E0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Jašek</dc:creator>
  <cp:keywords/>
  <dc:description/>
  <cp:lastModifiedBy>Matej Satko</cp:lastModifiedBy>
  <cp:revision>2</cp:revision>
  <dcterms:created xsi:type="dcterms:W3CDTF">2016-12-05T10:29:00Z</dcterms:created>
  <dcterms:modified xsi:type="dcterms:W3CDTF">2016-12-05T10:29:00Z</dcterms:modified>
</cp:coreProperties>
</file>